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3843" w14:textId="77777777" w:rsidR="001B1824" w:rsidRDefault="001B1824" w:rsidP="001B1824">
      <w:pPr>
        <w:pStyle w:val="Default"/>
        <w:rPr>
          <w:sz w:val="23"/>
          <w:szCs w:val="23"/>
        </w:rPr>
      </w:pPr>
      <w:bookmarkStart w:id="0" w:name="_GoBack"/>
      <w:bookmarkEnd w:id="0"/>
    </w:p>
    <w:p w14:paraId="27B33E81" w14:textId="77777777" w:rsidR="001B1824" w:rsidRPr="001B1824" w:rsidRDefault="001B1824" w:rsidP="001B1824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</w:rPr>
      </w:pPr>
      <w:r w:rsidRPr="001B1824">
        <w:rPr>
          <w:rFonts w:asciiTheme="minorHAnsi" w:hAnsiTheme="minorHAnsi" w:cstheme="minorHAnsi"/>
          <w:b/>
        </w:rPr>
        <w:t>STFC Balance of Programme (Skills)</w:t>
      </w:r>
      <w:r>
        <w:rPr>
          <w:rFonts w:asciiTheme="minorHAnsi" w:hAnsiTheme="minorHAnsi" w:cstheme="minorHAnsi"/>
          <w:b/>
        </w:rPr>
        <w:t xml:space="preserve"> review</w:t>
      </w:r>
    </w:p>
    <w:p w14:paraId="22719E60" w14:textId="61F6A683" w:rsidR="001B1824" w:rsidRPr="001B1824" w:rsidRDefault="009B23BF" w:rsidP="001B1824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Follow-up </w:t>
      </w:r>
      <w:r w:rsidR="001B1824" w:rsidRPr="001B1824">
        <w:rPr>
          <w:rFonts w:asciiTheme="minorHAnsi" w:hAnsiTheme="minorHAnsi" w:cstheme="minorHAnsi"/>
          <w:b/>
        </w:rPr>
        <w:t xml:space="preserve">Community </w:t>
      </w:r>
      <w:r w:rsidR="001B1824">
        <w:rPr>
          <w:rFonts w:asciiTheme="minorHAnsi" w:hAnsiTheme="minorHAnsi" w:cstheme="minorHAnsi"/>
          <w:b/>
        </w:rPr>
        <w:t>C</w:t>
      </w:r>
      <w:r w:rsidR="001B1824" w:rsidRPr="001B1824">
        <w:rPr>
          <w:rFonts w:asciiTheme="minorHAnsi" w:hAnsiTheme="minorHAnsi" w:cstheme="minorHAnsi"/>
          <w:b/>
        </w:rPr>
        <w:t>onsultation</w:t>
      </w:r>
    </w:p>
    <w:p w14:paraId="7BD59599" w14:textId="77777777" w:rsidR="001B1824" w:rsidRDefault="001B1824" w:rsidP="001B1824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b/>
        </w:rPr>
      </w:pPr>
    </w:p>
    <w:p w14:paraId="4BD90EC9" w14:textId="77777777" w:rsidR="001B1824" w:rsidRPr="001B1824" w:rsidRDefault="001B1824" w:rsidP="001B1824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b/>
        </w:rPr>
      </w:pPr>
      <w:r w:rsidRPr="001B1824">
        <w:rPr>
          <w:rFonts w:asciiTheme="minorHAnsi" w:hAnsiTheme="minorHAnsi" w:cstheme="minorHAnsi"/>
          <w:b/>
        </w:rPr>
        <w:t>Background</w:t>
      </w:r>
    </w:p>
    <w:p w14:paraId="32152603" w14:textId="42E9F9F9" w:rsidR="009B23BF" w:rsidRDefault="009B23BF" w:rsidP="004C1925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invited initial community input to STFC’s Balance of Programme (Skills) review through its Advisory Panels, the review panel (Chaired by Professor Martin Hendry, University of Glasgow) </w:t>
      </w:r>
      <w:r w:rsidR="004C1925">
        <w:rPr>
          <w:rFonts w:asciiTheme="minorHAnsi" w:hAnsiTheme="minorHAnsi" w:cstheme="minorHAnsi"/>
        </w:rPr>
        <w:t>are now inviting</w:t>
      </w:r>
      <w:r>
        <w:rPr>
          <w:rFonts w:asciiTheme="minorHAnsi" w:hAnsiTheme="minorHAnsi" w:cstheme="minorHAnsi"/>
        </w:rPr>
        <w:t xml:space="preserve"> further community responses to targeted questions.</w:t>
      </w:r>
    </w:p>
    <w:p w14:paraId="31B9A7DA" w14:textId="051CD492" w:rsidR="009B23BF" w:rsidRDefault="009B23BF" w:rsidP="004C1925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initial Advisory Panel responses provided valuable information on the relative </w:t>
      </w:r>
      <w:r w:rsidR="004C1925">
        <w:rPr>
          <w:rFonts w:asciiTheme="minorHAnsi" w:hAnsiTheme="minorHAnsi" w:cstheme="minorHAnsi"/>
        </w:rPr>
        <w:t>importance of different activi</w:t>
      </w:r>
      <w:r w:rsidR="00161F6F">
        <w:rPr>
          <w:rFonts w:asciiTheme="minorHAnsi" w:hAnsiTheme="minorHAnsi" w:cstheme="minorHAnsi"/>
        </w:rPr>
        <w:t xml:space="preserve">ties across the skills pipeline, </w:t>
      </w:r>
      <w:r>
        <w:rPr>
          <w:rFonts w:asciiTheme="minorHAnsi" w:hAnsiTheme="minorHAnsi" w:cstheme="minorHAnsi"/>
        </w:rPr>
        <w:t>critical areas where cuts would have detrimental impacts</w:t>
      </w:r>
      <w:r w:rsidR="004C1925">
        <w:rPr>
          <w:rFonts w:asciiTheme="minorHAnsi" w:hAnsiTheme="minorHAnsi" w:cstheme="minorHAnsi"/>
        </w:rPr>
        <w:t xml:space="preserve">, and </w:t>
      </w:r>
      <w:r w:rsidR="001F207F">
        <w:rPr>
          <w:rFonts w:asciiTheme="minorHAnsi" w:hAnsiTheme="minorHAnsi" w:cstheme="minorHAnsi"/>
        </w:rPr>
        <w:t>initial</w:t>
      </w:r>
      <w:r>
        <w:rPr>
          <w:rFonts w:asciiTheme="minorHAnsi" w:hAnsiTheme="minorHAnsi" w:cstheme="minorHAnsi"/>
        </w:rPr>
        <w:t xml:space="preserve"> indications of a prioritisation of skills activities. The review panel now seek to explore th</w:t>
      </w:r>
      <w:r w:rsidR="004C1925">
        <w:rPr>
          <w:rFonts w:asciiTheme="minorHAnsi" w:hAnsiTheme="minorHAnsi" w:cstheme="minorHAnsi"/>
        </w:rPr>
        <w:t xml:space="preserve">is prioritisation further, </w:t>
      </w:r>
      <w:r>
        <w:rPr>
          <w:rFonts w:asciiTheme="minorHAnsi" w:hAnsiTheme="minorHAnsi" w:cstheme="minorHAnsi"/>
        </w:rPr>
        <w:t>particular</w:t>
      </w:r>
      <w:r w:rsidR="004C1925">
        <w:rPr>
          <w:rFonts w:asciiTheme="minorHAnsi" w:hAnsiTheme="minorHAnsi" w:cstheme="minorHAnsi"/>
        </w:rPr>
        <w:t xml:space="preserve">ly in the context of </w:t>
      </w:r>
      <w:r w:rsidR="001F207F">
        <w:rPr>
          <w:rFonts w:asciiTheme="minorHAnsi" w:hAnsiTheme="minorHAnsi" w:cstheme="minorHAnsi"/>
        </w:rPr>
        <w:t>an optimistic funding scenario.</w:t>
      </w:r>
    </w:p>
    <w:p w14:paraId="18691875" w14:textId="42A8FD14" w:rsidR="001B1824" w:rsidRDefault="006F6425" w:rsidP="00F854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Panels are </w:t>
      </w:r>
      <w:r w:rsidR="001F207F">
        <w:rPr>
          <w:rFonts w:cstheme="minorHAnsi"/>
          <w:sz w:val="24"/>
          <w:szCs w:val="24"/>
        </w:rPr>
        <w:t xml:space="preserve">therefore </w:t>
      </w:r>
      <w:r>
        <w:rPr>
          <w:rFonts w:cstheme="minorHAnsi"/>
          <w:sz w:val="24"/>
          <w:szCs w:val="24"/>
        </w:rPr>
        <w:t>invited to respond to the following questions</w:t>
      </w:r>
      <w:r w:rsidR="001F207F">
        <w:rPr>
          <w:rFonts w:cstheme="minorHAnsi"/>
          <w:sz w:val="24"/>
          <w:szCs w:val="24"/>
        </w:rPr>
        <w:t xml:space="preserve"> by </w:t>
      </w:r>
      <w:r w:rsidR="001F207F" w:rsidRPr="001F207F">
        <w:rPr>
          <w:rFonts w:cstheme="minorHAnsi"/>
          <w:b/>
          <w:sz w:val="24"/>
          <w:szCs w:val="24"/>
          <w:u w:val="single"/>
        </w:rPr>
        <w:t>Friday 14</w:t>
      </w:r>
      <w:r w:rsidR="001F207F" w:rsidRPr="001F207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F207F" w:rsidRPr="001F207F">
        <w:rPr>
          <w:rFonts w:cstheme="minorHAnsi"/>
          <w:b/>
          <w:sz w:val="24"/>
          <w:szCs w:val="24"/>
          <w:u w:val="single"/>
        </w:rPr>
        <w:t xml:space="preserve"> July</w:t>
      </w:r>
      <w:r>
        <w:rPr>
          <w:rFonts w:cstheme="minorHAnsi"/>
          <w:sz w:val="24"/>
          <w:szCs w:val="24"/>
        </w:rPr>
        <w:t>.</w:t>
      </w:r>
      <w:r w:rsidR="00853FC1">
        <w:rPr>
          <w:rFonts w:cstheme="minorHAnsi"/>
          <w:sz w:val="24"/>
          <w:szCs w:val="24"/>
        </w:rPr>
        <w:t xml:space="preserve"> Responses should reflect the views of your community.</w:t>
      </w:r>
    </w:p>
    <w:p w14:paraId="6801B870" w14:textId="77777777" w:rsidR="00F85495" w:rsidRPr="00F85495" w:rsidRDefault="00F85495" w:rsidP="00F85495">
      <w:pPr>
        <w:jc w:val="both"/>
        <w:rPr>
          <w:rFonts w:cstheme="minorHAnsi"/>
          <w:sz w:val="12"/>
          <w:szCs w:val="12"/>
        </w:rPr>
      </w:pPr>
    </w:p>
    <w:p w14:paraId="12DC0CDC" w14:textId="77777777" w:rsidR="001B1824" w:rsidRPr="001B1824" w:rsidRDefault="001B1824">
      <w:pPr>
        <w:rPr>
          <w:rFonts w:cstheme="minorHAnsi"/>
          <w:b/>
          <w:sz w:val="24"/>
          <w:szCs w:val="24"/>
        </w:rPr>
      </w:pPr>
      <w:r w:rsidRPr="001B1824">
        <w:rPr>
          <w:rFonts w:cstheme="minorHAnsi"/>
          <w:b/>
          <w:sz w:val="24"/>
          <w:szCs w:val="24"/>
        </w:rPr>
        <w:t>Consultation Questions</w:t>
      </w:r>
    </w:p>
    <w:p w14:paraId="1EE60AEC" w14:textId="61FB50F2" w:rsidR="001D2D11" w:rsidRDefault="00C11816" w:rsidP="001B1824">
      <w:pPr>
        <w:rPr>
          <w:rFonts w:cstheme="minorHAnsi"/>
          <w:sz w:val="24"/>
          <w:szCs w:val="24"/>
        </w:rPr>
      </w:pPr>
      <w:r w:rsidRPr="001D2D1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3C05" wp14:editId="702C85B6">
                <wp:simplePos x="0" y="0"/>
                <wp:positionH relativeFrom="column">
                  <wp:posOffset>-85725</wp:posOffset>
                </wp:positionH>
                <wp:positionV relativeFrom="paragraph">
                  <wp:posOffset>118745</wp:posOffset>
                </wp:positionV>
                <wp:extent cx="5962650" cy="201612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16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F7B7" w14:textId="3E34B1B2" w:rsidR="00C11816" w:rsidRPr="00C11816" w:rsidRDefault="00C11816" w:rsidP="00C11816">
                            <w:pPr>
                              <w:spacing w:after="150" w:line="240" w:lineRule="atLeast"/>
                            </w:pPr>
                            <w:r w:rsidRPr="00C11816">
                              <w:t xml:space="preserve">1) In relation to the five skills areas in scope of the review (apprentices, graduates, studentships, fellowships and public engagement) please comment on the level of resources* currently allocated to the </w:t>
                            </w:r>
                            <w:r w:rsidRPr="00C11816">
                              <w:rPr>
                                <w:u w:val="single"/>
                              </w:rPr>
                              <w:t>facilities</w:t>
                            </w:r>
                            <w:r w:rsidRPr="00C11816">
                              <w:t xml:space="preserve">** operated by STFC. </w:t>
                            </w:r>
                            <w:r w:rsidRPr="00C11816">
                              <w:rPr>
                                <w:b/>
                                <w:bCs/>
                              </w:rPr>
                              <w:t>Please indicate if up to now these have been too low, about right or too much for all the skills areas you are able to comment on.</w:t>
                            </w:r>
                          </w:p>
                          <w:p w14:paraId="52DB0565" w14:textId="1CE5FD57" w:rsidR="00C11816" w:rsidRPr="00C11816" w:rsidRDefault="00C11816" w:rsidP="00C11816">
                            <w:pPr>
                              <w:spacing w:after="150" w:line="240" w:lineRule="atLeast"/>
                            </w:pPr>
                            <w:r w:rsidRPr="00C11816">
                              <w:t>Max. 2000 characters (including spaces)</w:t>
                            </w:r>
                          </w:p>
                          <w:p w14:paraId="376AC331" w14:textId="77777777" w:rsidR="00C11816" w:rsidRDefault="00C11816" w:rsidP="00C11816">
                            <w:pPr>
                              <w:spacing w:after="150" w:line="240" w:lineRule="atLeast"/>
                              <w:rPr>
                                <w:bCs/>
                              </w:rPr>
                            </w:pPr>
                            <w:r w:rsidRPr="00C11816">
                              <w:rPr>
                                <w:bCs/>
                              </w:rPr>
                              <w:t>*amount of funding and distribution across skills areas, with inclusion of as much quantitative information as you have available.</w:t>
                            </w:r>
                          </w:p>
                          <w:p w14:paraId="0691D142" w14:textId="7406E99B" w:rsidR="00C11816" w:rsidRPr="00C11816" w:rsidRDefault="00C11816" w:rsidP="00C11816">
                            <w:pPr>
                              <w:spacing w:after="150" w:line="24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** for the purpose of this exercise ‘facilities’ ref</w:t>
                            </w:r>
                            <w:r w:rsidRPr="00C11816">
                              <w:rPr>
                                <w:bCs/>
                              </w:rPr>
                              <w:t xml:space="preserve">ers to </w:t>
                            </w:r>
                            <w:r w:rsidRPr="00C11816">
                              <w:t>ISIS, Ce</w:t>
                            </w:r>
                            <w:r w:rsidR="00161F6F">
                              <w:t>ntral Laser Facility, RAL Space &amp;</w:t>
                            </w:r>
                            <w:r w:rsidRPr="00C11816">
                              <w:t xml:space="preserve"> </w:t>
                            </w:r>
                            <w:proofErr w:type="spellStart"/>
                            <w:r w:rsidRPr="00C11816">
                              <w:t>Hartree</w:t>
                            </w:r>
                            <w:proofErr w:type="spellEnd"/>
                            <w:r w:rsidRPr="00C11816">
                              <w:t xml:space="preserve">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.35pt;width:4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" fillcolor="#ddd8c2 [2894]">
                <v:textbox style="mso-fit-shape-to-text:t">
                  <w:txbxContent>
                    <w:p w14:paraId="4E47F7B7" w14:textId="3E34B1B2" w:rsidR="00C11816" w:rsidRPr="00C11816" w:rsidRDefault="00C11816" w:rsidP="00C11816">
                      <w:pPr>
                        <w:spacing w:after="150" w:line="240" w:lineRule="atLeast"/>
                      </w:pPr>
                      <w:r w:rsidRPr="00C11816">
                        <w:t xml:space="preserve">1) In relation to the five skills areas in scope of the review (apprentices, graduates, studentships, fellowships and public engagement) please comment on the level of resources* currently allocated to the </w:t>
                      </w:r>
                      <w:r w:rsidRPr="00C11816">
                        <w:rPr>
                          <w:u w:val="single"/>
                        </w:rPr>
                        <w:t>facilities</w:t>
                      </w:r>
                      <w:r w:rsidRPr="00C11816">
                        <w:t xml:space="preserve">** operated by STFC. </w:t>
                      </w:r>
                      <w:r w:rsidRPr="00C11816">
                        <w:rPr>
                          <w:b/>
                          <w:bCs/>
                        </w:rPr>
                        <w:t>Please indicate if up to now these have been too low, about right or too much for all the skills areas you are able to comment on.</w:t>
                      </w:r>
                    </w:p>
                    <w:p w14:paraId="52DB0565" w14:textId="1CE5FD57" w:rsidR="00C11816" w:rsidRPr="00C11816" w:rsidRDefault="00C11816" w:rsidP="00C11816">
                      <w:pPr>
                        <w:spacing w:after="150" w:line="240" w:lineRule="atLeast"/>
                      </w:pPr>
                      <w:r w:rsidRPr="00C11816">
                        <w:t>Max. 2000 characters (including spaces)</w:t>
                      </w:r>
                    </w:p>
                    <w:p w14:paraId="376AC331" w14:textId="77777777" w:rsidR="00C11816" w:rsidRDefault="00C11816" w:rsidP="00C11816">
                      <w:pPr>
                        <w:spacing w:after="150" w:line="240" w:lineRule="atLeast"/>
                        <w:rPr>
                          <w:bCs/>
                        </w:rPr>
                      </w:pPr>
                      <w:r w:rsidRPr="00C11816">
                        <w:rPr>
                          <w:bCs/>
                        </w:rPr>
                        <w:t>*amount of funding and distribution across skills areas, with inclusion of as much quantitative information as you have available.</w:t>
                      </w:r>
                    </w:p>
                    <w:p w14:paraId="0691D142" w14:textId="7406E99B" w:rsidR="00C11816" w:rsidRPr="00C11816" w:rsidRDefault="00C11816" w:rsidP="00C11816">
                      <w:pPr>
                        <w:spacing w:after="150" w:line="240" w:lineRule="atLeas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** for the purpose of this exercise ‘facilities’ ref</w:t>
                      </w:r>
                      <w:r w:rsidRPr="00C11816">
                        <w:rPr>
                          <w:bCs/>
                        </w:rPr>
                        <w:t xml:space="preserve">ers to </w:t>
                      </w:r>
                      <w:r w:rsidRPr="00C11816">
                        <w:t>ISIS, Ce</w:t>
                      </w:r>
                      <w:r w:rsidR="00161F6F">
                        <w:t>ntral Laser Facility, RAL Space &amp;</w:t>
                      </w:r>
                      <w:r w:rsidRPr="00C11816">
                        <w:t xml:space="preserve"> </w:t>
                      </w:r>
                      <w:proofErr w:type="spellStart"/>
                      <w:r w:rsidRPr="00C11816">
                        <w:t>Hartree</w:t>
                      </w:r>
                      <w:proofErr w:type="spellEnd"/>
                      <w:r w:rsidRPr="00C11816">
                        <w:t xml:space="preserve"> Centre.</w:t>
                      </w:r>
                    </w:p>
                  </w:txbxContent>
                </v:textbox>
              </v:shape>
            </w:pict>
          </mc:Fallback>
        </mc:AlternateContent>
      </w:r>
    </w:p>
    <w:p w14:paraId="7A3DBFA5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2DEE1AD3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2287CA20" w14:textId="3A2F35E8" w:rsidR="001D2D11" w:rsidRDefault="001D2D11" w:rsidP="001B1824">
      <w:pPr>
        <w:rPr>
          <w:rFonts w:cstheme="minorHAnsi"/>
          <w:sz w:val="24"/>
          <w:szCs w:val="24"/>
        </w:rPr>
      </w:pPr>
    </w:p>
    <w:p w14:paraId="4E61ED50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1DD9FF0A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4F19E877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2FF80229" w14:textId="4033E63D" w:rsidR="001D2D11" w:rsidRDefault="00C11816" w:rsidP="001B1824">
      <w:pPr>
        <w:rPr>
          <w:rFonts w:cstheme="minorHAnsi"/>
          <w:sz w:val="24"/>
          <w:szCs w:val="24"/>
        </w:rPr>
      </w:pPr>
      <w:r w:rsidRPr="001D2D1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1D3EB" wp14:editId="098AEAD5">
                <wp:simplePos x="0" y="0"/>
                <wp:positionH relativeFrom="column">
                  <wp:posOffset>-85725</wp:posOffset>
                </wp:positionH>
                <wp:positionV relativeFrom="paragraph">
                  <wp:posOffset>256540</wp:posOffset>
                </wp:positionV>
                <wp:extent cx="5962650" cy="19297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29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AB67" w14:textId="05C3C402" w:rsidR="001D2D11" w:rsidRDefault="001D2D11" w:rsidP="004C1925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853F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 W</w:t>
                            </w:r>
                            <w:r w:rsidR="00853FC1" w:rsidRPr="00853FC1">
                              <w:rPr>
                                <w:sz w:val="24"/>
                                <w:szCs w:val="24"/>
                              </w:rPr>
                              <w:t>hat skills should be maintained or strengthened to enable your community to respond flexibly to new funding opportunities such as (but not exclus</w:t>
                            </w:r>
                            <w:r w:rsidR="004C1925">
                              <w:rPr>
                                <w:sz w:val="24"/>
                                <w:szCs w:val="24"/>
                              </w:rPr>
                              <w:t>ively) those offered by the Global Challenges Research Fund and Industrial Strategy Challenge Fund</w:t>
                            </w:r>
                            <w:r w:rsidR="00853FC1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F854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495">
                              <w:rPr>
                                <w:sz w:val="24"/>
                                <w:szCs w:val="24"/>
                              </w:rPr>
                              <w:t>Wherever possible, please link the skills that you identify explicitly to the skills area(s) expected to deliver them – e.g. to project management (fellowships) if advanced training in project management is required, or to mechanical engineering (apprenticeships) for early career skills training in mechanical engineering.</w:t>
                            </w:r>
                          </w:p>
                          <w:p w14:paraId="35D9483C" w14:textId="6BB4FE6F" w:rsidR="00F85495" w:rsidRPr="00853FC1" w:rsidRDefault="00F85495" w:rsidP="004C192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864E1B" w14:textId="62F8CD1F" w:rsidR="001D2D11" w:rsidRDefault="001D2D11" w:rsidP="001D2D11">
                            <w:pPr>
                              <w:spacing w:after="0" w:line="240" w:lineRule="auto"/>
                            </w:pPr>
                            <w:r>
                              <w:t xml:space="preserve">Max. </w:t>
                            </w:r>
                            <w:r w:rsidR="005F34BC">
                              <w:t>2000 characters (including spaces)</w:t>
                            </w:r>
                          </w:p>
                          <w:p w14:paraId="556F4AC8" w14:textId="77777777" w:rsidR="001D2D11" w:rsidRDefault="001D2D11" w:rsidP="001D2D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0.2pt;width:46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" fillcolor="#ddd8c2 [2894]">
                <v:textbox style="mso-fit-shape-to-text:t">
                  <w:txbxContent>
                    <w:p w14:paraId="3452AB67" w14:textId="05C3C402" w:rsidR="001D2D11" w:rsidRDefault="001D2D11" w:rsidP="004C1925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</w:t>
                      </w:r>
                      <w:r w:rsidR="00853FC1">
                        <w:rPr>
                          <w:rFonts w:cstheme="minorHAnsi"/>
                          <w:sz w:val="24"/>
                          <w:szCs w:val="24"/>
                        </w:rPr>
                        <w:t>) W</w:t>
                      </w:r>
                      <w:r w:rsidR="00853FC1" w:rsidRPr="00853FC1">
                        <w:rPr>
                          <w:sz w:val="24"/>
                          <w:szCs w:val="24"/>
                        </w:rPr>
                        <w:t>hat skills should be maintained or strengthened to enable your community to respond flexibly to new funding opportunities such as (but not exclus</w:t>
                      </w:r>
                      <w:r w:rsidR="004C1925">
                        <w:rPr>
                          <w:sz w:val="24"/>
                          <w:szCs w:val="24"/>
                        </w:rPr>
                        <w:t>ively) those offered by the Global Challenges Research Fund and Industrial Strategy Challenge Fund</w:t>
                      </w:r>
                      <w:r w:rsidR="00853FC1">
                        <w:rPr>
                          <w:sz w:val="24"/>
                          <w:szCs w:val="24"/>
                        </w:rPr>
                        <w:t>?</w:t>
                      </w:r>
                      <w:r w:rsidR="00F854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16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5495">
                        <w:rPr>
                          <w:sz w:val="24"/>
                          <w:szCs w:val="24"/>
                        </w:rPr>
                        <w:t>Wherever possible, please link the skills that you identify explicitly to the skills area(s) expected to deliver them – e.g. to project management (fellowships) if advanced training in project management is required, or to mechanical engineering (apprenticeships) for early career skills training in mechanical engineering.</w:t>
                      </w:r>
                    </w:p>
                    <w:p w14:paraId="35D9483C" w14:textId="6BB4FE6F" w:rsidR="00F85495" w:rsidRPr="00853FC1" w:rsidRDefault="00F85495" w:rsidP="004C192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864E1B" w14:textId="62F8CD1F" w:rsidR="001D2D11" w:rsidRDefault="001D2D11" w:rsidP="001D2D11">
                      <w:pPr>
                        <w:spacing w:after="0" w:line="240" w:lineRule="auto"/>
                      </w:pPr>
                      <w:r>
                        <w:t xml:space="preserve">Max. </w:t>
                      </w:r>
                      <w:r w:rsidR="005F34BC">
                        <w:t>2000 characters (including spaces)</w:t>
                      </w:r>
                    </w:p>
                    <w:p w14:paraId="556F4AC8" w14:textId="77777777" w:rsidR="001D2D11" w:rsidRDefault="001D2D11" w:rsidP="001D2D1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877AC12" w14:textId="4FD6D370" w:rsidR="001D2D11" w:rsidRDefault="001D2D11" w:rsidP="001B1824">
      <w:pPr>
        <w:rPr>
          <w:rFonts w:cstheme="minorHAnsi"/>
          <w:sz w:val="24"/>
          <w:szCs w:val="24"/>
        </w:rPr>
      </w:pPr>
    </w:p>
    <w:p w14:paraId="02110BD4" w14:textId="6BDF7113" w:rsidR="001D2D11" w:rsidRDefault="001D2D11" w:rsidP="001B1824">
      <w:pPr>
        <w:rPr>
          <w:rFonts w:cstheme="minorHAnsi"/>
          <w:sz w:val="24"/>
          <w:szCs w:val="24"/>
        </w:rPr>
      </w:pPr>
    </w:p>
    <w:p w14:paraId="62FF7CF6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7E69C501" w14:textId="77777777" w:rsidR="001D2D11" w:rsidRDefault="001D2D11" w:rsidP="001B1824">
      <w:pPr>
        <w:rPr>
          <w:rFonts w:cstheme="minorHAnsi"/>
          <w:sz w:val="24"/>
          <w:szCs w:val="24"/>
        </w:rPr>
      </w:pPr>
    </w:p>
    <w:p w14:paraId="3AB7ADD3" w14:textId="1AD65219" w:rsidR="001B1824" w:rsidRPr="001B1824" w:rsidRDefault="001B1824" w:rsidP="001B1824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14:paraId="0747982C" w14:textId="462E4195" w:rsidR="001440F9" w:rsidRDefault="001440F9" w:rsidP="001B1824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14:paraId="60A59631" w14:textId="7601DE4F" w:rsidR="001440F9" w:rsidRDefault="00C11816" w:rsidP="001B1824">
      <w:pPr>
        <w:pStyle w:val="Default"/>
        <w:rPr>
          <w:rFonts w:asciiTheme="minorHAnsi" w:hAnsiTheme="minorHAnsi" w:cstheme="minorHAnsi"/>
          <w:b/>
          <w:i/>
          <w:u w:val="single"/>
        </w:rPr>
      </w:pPr>
      <w:r w:rsidRPr="001D2D11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8BF1A" wp14:editId="654582BD">
                <wp:simplePos x="0" y="0"/>
                <wp:positionH relativeFrom="column">
                  <wp:posOffset>-171450</wp:posOffset>
                </wp:positionH>
                <wp:positionV relativeFrom="paragraph">
                  <wp:posOffset>83185</wp:posOffset>
                </wp:positionV>
                <wp:extent cx="5962650" cy="1933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33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7E20" w14:textId="58BF09E4" w:rsidR="001D2D11" w:rsidRDefault="001D2D11" w:rsidP="004C192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1B182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Under the following funding scenarios indicate a clear </w:t>
                            </w:r>
                            <w:proofErr w:type="spellStart"/>
                            <w:r w:rsidR="005B487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prioritis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ation</w:t>
                            </w:r>
                            <w:proofErr w:type="spellEnd"/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F34BC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(1-5, 1 is highest priority; no equal priorities to be given) 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of skills areas (including </w:t>
                            </w:r>
                            <w:r w:rsidR="001F207F" w:rsidRPr="001F20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F207F" w:rsidRPr="001F20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five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skill</w:t>
                            </w:r>
                            <w:r w:rsidR="001027D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 areas in scope of the review – 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apprentices, graduates, studentships, fel</w:t>
                            </w:r>
                            <w:r w:rsidR="001027D7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lowships and public engagement):</w:t>
                            </w:r>
                          </w:p>
                          <w:p w14:paraId="13C4D82D" w14:textId="77777777" w:rsidR="001F207F" w:rsidRDefault="001F207F" w:rsidP="001D2D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A5E256" w14:textId="53E8A242" w:rsidR="001F207F" w:rsidRPr="001F207F" w:rsidRDefault="001F207F" w:rsidP="001D2D1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20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Flat cash +5%</w:t>
                            </w:r>
                          </w:p>
                          <w:p w14:paraId="49B13957" w14:textId="04302D93" w:rsidR="005F34BC" w:rsidRDefault="005F34BC" w:rsidP="005F34B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List skills areas (essential) + Max.</w:t>
                            </w:r>
                            <w:proofErr w:type="gramEnd"/>
                            <w:r>
                              <w:t xml:space="preserve"> 2000 characters (including spaces) as justification (optional)</w:t>
                            </w:r>
                          </w:p>
                          <w:p w14:paraId="2EF1900E" w14:textId="77777777" w:rsidR="005F34BC" w:rsidRDefault="005F34BC" w:rsidP="001F207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E1AB31" w14:textId="16977CBE" w:rsidR="001F207F" w:rsidRPr="001F207F" w:rsidRDefault="001F207F" w:rsidP="001F207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20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Flat cash -5%</w:t>
                            </w:r>
                          </w:p>
                          <w:p w14:paraId="5019FB1B" w14:textId="475114A1" w:rsidR="005F34BC" w:rsidRDefault="005F34BC" w:rsidP="005F34BC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List skills areas (essential) + Max.</w:t>
                            </w:r>
                            <w:proofErr w:type="gramEnd"/>
                            <w:r>
                              <w:t xml:space="preserve"> 2000 characters (including spaces) as justification (optional)</w:t>
                            </w:r>
                          </w:p>
                          <w:p w14:paraId="33CDBBC2" w14:textId="77777777" w:rsidR="001D2D11" w:rsidRDefault="001D2D11" w:rsidP="001D2D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6.55pt;width:469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" fillcolor="#ddd8c2 [2894]">
                <v:textbox>
                  <w:txbxContent>
                    <w:p w14:paraId="4B9D7E20" w14:textId="58BF09E4" w:rsidR="001D2D11" w:rsidRDefault="001D2D11" w:rsidP="004C192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Pr="001B1824">
                        <w:rPr>
                          <w:rFonts w:cstheme="minorHAnsi"/>
                          <w:sz w:val="24"/>
                          <w:szCs w:val="24"/>
                        </w:rPr>
                        <w:t xml:space="preserve">) 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Under the following funding scenarios indicate a clear </w:t>
                      </w:r>
                      <w:proofErr w:type="spellStart"/>
                      <w:r w:rsidR="005B4870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prioritis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ation</w:t>
                      </w:r>
                      <w:proofErr w:type="spellEnd"/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F34BC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(1-5, 1 is highest priority; no equal priorities to be given) 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of skills areas (including </w:t>
                      </w:r>
                      <w:r w:rsidR="001F207F" w:rsidRPr="001F207F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all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F207F" w:rsidRPr="001F207F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five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skill</w:t>
                      </w:r>
                      <w:r w:rsidR="001027D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s areas in scope of the review – 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apprentices, graduates, studentships, fel</w:t>
                      </w:r>
                      <w:r w:rsidR="001027D7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lowships and public engagement):</w:t>
                      </w:r>
                    </w:p>
                    <w:p w14:paraId="13C4D82D" w14:textId="77777777" w:rsidR="001F207F" w:rsidRDefault="001F207F" w:rsidP="001D2D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01A5E256" w14:textId="53E8A242" w:rsidR="001F207F" w:rsidRPr="001F207F" w:rsidRDefault="001F207F" w:rsidP="001D2D1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F207F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Flat cash +5%</w:t>
                      </w:r>
                    </w:p>
                    <w:p w14:paraId="49B13957" w14:textId="04302D93" w:rsidR="005F34BC" w:rsidRDefault="005F34BC" w:rsidP="005F34BC">
                      <w:pPr>
                        <w:spacing w:after="0" w:line="240" w:lineRule="auto"/>
                      </w:pPr>
                      <w:proofErr w:type="gramStart"/>
                      <w:r>
                        <w:t>List skills areas (essential) + Max.</w:t>
                      </w:r>
                      <w:proofErr w:type="gramEnd"/>
                      <w:r>
                        <w:t xml:space="preserve"> 2000 characters (including spaces) as justification (optional)</w:t>
                      </w:r>
                    </w:p>
                    <w:p w14:paraId="2EF1900E" w14:textId="77777777" w:rsidR="005F34BC" w:rsidRDefault="005F34BC" w:rsidP="001F207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DE1AB31" w14:textId="16977CBE" w:rsidR="001F207F" w:rsidRPr="001F207F" w:rsidRDefault="001F207F" w:rsidP="001F207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F207F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Flat cash -5%</w:t>
                      </w:r>
                    </w:p>
                    <w:p w14:paraId="5019FB1B" w14:textId="475114A1" w:rsidR="005F34BC" w:rsidRDefault="005F34BC" w:rsidP="005F34BC">
                      <w:pPr>
                        <w:spacing w:after="0" w:line="240" w:lineRule="auto"/>
                      </w:pPr>
                      <w:proofErr w:type="gramStart"/>
                      <w:r>
                        <w:t>List skills areas (essential) + Max.</w:t>
                      </w:r>
                      <w:proofErr w:type="gramEnd"/>
                      <w:r>
                        <w:t xml:space="preserve"> 2000 characters (including spaces) as justification (optional)</w:t>
                      </w:r>
                    </w:p>
                    <w:p w14:paraId="33CDBBC2" w14:textId="77777777" w:rsidR="001D2D11" w:rsidRDefault="001D2D11" w:rsidP="001D2D1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B7FB735" w14:textId="6A5E07B3" w:rsidR="001440F9" w:rsidRDefault="001440F9" w:rsidP="001B1824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14:paraId="5D09D4CE" w14:textId="5A88030B" w:rsidR="001D2D11" w:rsidRDefault="001D2D11" w:rsidP="001B1824">
      <w:pPr>
        <w:pStyle w:val="Default"/>
        <w:rPr>
          <w:rFonts w:asciiTheme="minorHAnsi" w:hAnsiTheme="minorHAnsi" w:cstheme="minorHAnsi"/>
        </w:rPr>
      </w:pPr>
    </w:p>
    <w:p w14:paraId="5D35C8F6" w14:textId="77777777" w:rsidR="001D2D11" w:rsidRDefault="001D2D11" w:rsidP="001B1824">
      <w:pPr>
        <w:pStyle w:val="Default"/>
        <w:rPr>
          <w:rFonts w:asciiTheme="minorHAnsi" w:hAnsiTheme="minorHAnsi" w:cstheme="minorHAnsi"/>
        </w:rPr>
      </w:pPr>
    </w:p>
    <w:p w14:paraId="736B754F" w14:textId="310C1B66" w:rsidR="001D2D11" w:rsidRDefault="001D2D11" w:rsidP="001B1824">
      <w:pPr>
        <w:pStyle w:val="Default"/>
        <w:rPr>
          <w:rFonts w:asciiTheme="minorHAnsi" w:hAnsiTheme="minorHAnsi" w:cstheme="minorHAnsi"/>
        </w:rPr>
      </w:pPr>
    </w:p>
    <w:p w14:paraId="7C803FC5" w14:textId="77777777" w:rsidR="001D2D11" w:rsidRDefault="001D2D11" w:rsidP="001B1824">
      <w:pPr>
        <w:pStyle w:val="Default"/>
        <w:rPr>
          <w:rFonts w:asciiTheme="minorHAnsi" w:hAnsiTheme="minorHAnsi" w:cstheme="minorHAnsi"/>
        </w:rPr>
      </w:pPr>
    </w:p>
    <w:p w14:paraId="59B7B658" w14:textId="77777777" w:rsidR="001D2D11" w:rsidRDefault="001D2D11">
      <w:pPr>
        <w:rPr>
          <w:rFonts w:cstheme="minorHAnsi"/>
          <w:b/>
          <w:sz w:val="24"/>
          <w:szCs w:val="24"/>
        </w:rPr>
      </w:pPr>
    </w:p>
    <w:p w14:paraId="77DB2E2C" w14:textId="43B725AE" w:rsidR="001D2D11" w:rsidRDefault="001D2D11">
      <w:pPr>
        <w:rPr>
          <w:rFonts w:cstheme="minorHAnsi"/>
          <w:b/>
          <w:sz w:val="24"/>
          <w:szCs w:val="24"/>
        </w:rPr>
      </w:pPr>
    </w:p>
    <w:p w14:paraId="6063D9B5" w14:textId="77777777" w:rsidR="00E710BF" w:rsidRDefault="00E710BF">
      <w:pPr>
        <w:rPr>
          <w:rFonts w:cstheme="minorHAnsi"/>
          <w:b/>
          <w:sz w:val="24"/>
          <w:szCs w:val="24"/>
        </w:rPr>
      </w:pPr>
    </w:p>
    <w:p w14:paraId="71A3D45C" w14:textId="77777777" w:rsidR="00E710BF" w:rsidRDefault="00E710BF">
      <w:pPr>
        <w:rPr>
          <w:rFonts w:cstheme="minorHAnsi"/>
          <w:b/>
          <w:sz w:val="24"/>
          <w:szCs w:val="24"/>
        </w:rPr>
      </w:pPr>
    </w:p>
    <w:p w14:paraId="3516C4EF" w14:textId="642D5582" w:rsidR="00E710BF" w:rsidRDefault="00C11816">
      <w:pPr>
        <w:rPr>
          <w:rFonts w:cstheme="minorHAnsi"/>
          <w:b/>
          <w:sz w:val="24"/>
          <w:szCs w:val="24"/>
        </w:rPr>
      </w:pPr>
      <w:r w:rsidRPr="001D2D1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3D7CA" wp14:editId="3A363923">
                <wp:simplePos x="0" y="0"/>
                <wp:positionH relativeFrom="column">
                  <wp:posOffset>-171450</wp:posOffset>
                </wp:positionH>
                <wp:positionV relativeFrom="paragraph">
                  <wp:posOffset>80010</wp:posOffset>
                </wp:positionV>
                <wp:extent cx="5962650" cy="2916555"/>
                <wp:effectExtent l="0" t="0" r="1905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165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CA74" w14:textId="7D94C251" w:rsidR="001027D7" w:rsidRPr="001027D7" w:rsidRDefault="001440F9" w:rsidP="001027D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1B182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>What opportunities exist for skills activ</w:t>
                            </w:r>
                            <w:r w:rsidR="003A127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ities that would </w:t>
                            </w:r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enhance your </w:t>
                            </w:r>
                            <w:proofErr w:type="spellStart"/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nder an optimistic funding scenario</w:t>
                            </w:r>
                            <w:r w:rsidR="003A1275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 which </w:t>
                            </w:r>
                            <w:r w:rsidR="005B4870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significant </w:t>
                            </w:r>
                            <w:r w:rsidR="004C1925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funding becomes</w:t>
                            </w:r>
                            <w:r w:rsidR="001F207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available </w:t>
                            </w:r>
                            <w:r w:rsidR="00853F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implement the </w:t>
                            </w:r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853FC1">
                              <w:rPr>
                                <w:sz w:val="24"/>
                                <w:szCs w:val="24"/>
                                <w:lang w:val="en-US"/>
                              </w:rPr>
                              <w:t>Building Our Industrial Strategy</w:t>
                            </w:r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="00853F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Green </w:t>
                            </w:r>
                            <w:proofErr w:type="spellStart"/>
                            <w:r w:rsidR="00853FC1">
                              <w:rPr>
                                <w:sz w:val="24"/>
                                <w:szCs w:val="24"/>
                                <w:lang w:val="en-US"/>
                              </w:rPr>
                              <w:t>Paper</w:t>
                            </w:r>
                            <w:r w:rsidR="00853FC1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4C19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27D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via e.g. the technologies allocated support by the Industrial </w:t>
                            </w:r>
                            <w:r w:rsidR="00161F6F">
                              <w:rPr>
                                <w:sz w:val="24"/>
                                <w:szCs w:val="24"/>
                                <w:lang w:val="en-US"/>
                              </w:rPr>
                              <w:t>Strategy Challenge</w:t>
                            </w:r>
                            <w:r w:rsidR="001027D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027D7">
                              <w:rPr>
                                <w:sz w:val="24"/>
                                <w:szCs w:val="24"/>
                                <w:lang w:val="en-US"/>
                              </w:rPr>
                              <w:t>Fund</w:t>
                            </w:r>
                            <w:r w:rsidR="00F85495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spellEnd"/>
                            <w:r w:rsidR="00F85495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?</w:t>
                            </w:r>
                            <w:proofErr w:type="gramEnd"/>
                          </w:p>
                          <w:p w14:paraId="5CFFC8E7" w14:textId="29504174" w:rsidR="001440F9" w:rsidRDefault="001440F9" w:rsidP="001440F9">
                            <w:pPr>
                              <w:spacing w:after="0" w:line="240" w:lineRule="auto"/>
                            </w:pPr>
                            <w:r>
                              <w:t xml:space="preserve">Max. </w:t>
                            </w:r>
                            <w:r w:rsidR="00E710BF">
                              <w:t>2000 characters (including spaces)</w:t>
                            </w:r>
                          </w:p>
                          <w:p w14:paraId="6183B5B4" w14:textId="77777777" w:rsidR="001027D7" w:rsidRDefault="001027D7" w:rsidP="005B4870">
                            <w:pPr>
                              <w:spacing w:after="0" w:line="240" w:lineRule="auto"/>
                            </w:pPr>
                          </w:p>
                          <w:p w14:paraId="5C5D0B25" w14:textId="77777777" w:rsidR="005F34BC" w:rsidRPr="00E76A63" w:rsidRDefault="005F34BC" w:rsidP="005F34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4F1917">
                                <w:rPr>
                                  <w:rStyle w:val="Hyperlink"/>
                                </w:rPr>
                                <w:t>https://beisgovuk.citizenspace.com/strategy/industrial-strategy/supporting_documents/buildingourindustrialstrategygreenpaper.pdf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34EEB20" w14:textId="40A222CB" w:rsidR="00E710BF" w:rsidRDefault="00E710BF" w:rsidP="00E710BF">
                            <w:pPr>
                              <w:spacing w:after="0" w:line="240" w:lineRule="auto"/>
                            </w:pPr>
                            <w:r w:rsidRPr="00E710BF">
                              <w:rPr>
                                <w:vertAlign w:val="superscript"/>
                              </w:rPr>
                              <w:t>b</w:t>
                            </w:r>
                            <w:r>
                              <w:t xml:space="preserve"> Smart and clean energy technologies (such as storage and demand response grid technologies); robotics and artificial intelligence (including connected and autonomous vehicles and drones); satellites and space technologies; leading edge healthcare and medicine; manufacturing processes and materials of the future; biotechnology and synthetic biology quantum technologies, and transformative digital technologies including supercomputing, advanced modelling, and 5G mobile networks.</w:t>
                            </w:r>
                          </w:p>
                          <w:p w14:paraId="5BCB2A9F" w14:textId="5B801972" w:rsidR="001440F9" w:rsidRDefault="001440F9" w:rsidP="001440F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3.5pt;margin-top:6.3pt;width:469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" fillcolor="#ddd8c2 [2894]">
                <v:textbox style="mso-fit-shape-to-text:t">
                  <w:txbxContent>
                    <w:p w14:paraId="602BCA74" w14:textId="7D94C251" w:rsidR="001027D7" w:rsidRPr="001027D7" w:rsidRDefault="001440F9" w:rsidP="001027D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4</w:t>
                      </w:r>
                      <w:r w:rsidRPr="001B1824">
                        <w:rPr>
                          <w:rFonts w:cstheme="minorHAnsi"/>
                          <w:sz w:val="24"/>
                          <w:szCs w:val="24"/>
                        </w:rPr>
                        <w:t xml:space="preserve">) </w:t>
                      </w:r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>What opportunities exist for skills activ</w:t>
                      </w:r>
                      <w:r w:rsidR="003A1275">
                        <w:rPr>
                          <w:sz w:val="24"/>
                          <w:szCs w:val="24"/>
                          <w:lang w:val="en-US"/>
                        </w:rPr>
                        <w:t xml:space="preserve">ities that would </w:t>
                      </w:r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 xml:space="preserve">enhance your </w:t>
                      </w:r>
                      <w:proofErr w:type="spellStart"/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 xml:space="preserve"> u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nder an optimistic funding scenario</w:t>
                      </w:r>
                      <w:r w:rsidR="003A1275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in which </w:t>
                      </w:r>
                      <w:r w:rsidR="005B4870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significant </w:t>
                      </w:r>
                      <w:r w:rsidR="004C1925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funding becomes</w:t>
                      </w:r>
                      <w:r w:rsidR="001F207F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available </w:t>
                      </w:r>
                      <w:r w:rsidR="00853FC1">
                        <w:rPr>
                          <w:sz w:val="24"/>
                          <w:szCs w:val="24"/>
                          <w:lang w:val="en-US"/>
                        </w:rPr>
                        <w:t xml:space="preserve">to implement the </w:t>
                      </w:r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853FC1">
                        <w:rPr>
                          <w:sz w:val="24"/>
                          <w:szCs w:val="24"/>
                          <w:lang w:val="en-US"/>
                        </w:rPr>
                        <w:t>Building Our Industrial Strategy</w:t>
                      </w:r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>”</w:t>
                      </w:r>
                      <w:r w:rsidR="00853FC1">
                        <w:rPr>
                          <w:sz w:val="24"/>
                          <w:szCs w:val="24"/>
                          <w:lang w:val="en-US"/>
                        </w:rPr>
                        <w:t xml:space="preserve"> Green </w:t>
                      </w:r>
                      <w:proofErr w:type="spellStart"/>
                      <w:r w:rsidR="00853FC1">
                        <w:rPr>
                          <w:sz w:val="24"/>
                          <w:szCs w:val="24"/>
                          <w:lang w:val="en-US"/>
                        </w:rPr>
                        <w:t>Paper</w:t>
                      </w:r>
                      <w:r w:rsidR="00853FC1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  <w:r w:rsidR="004C192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27D7">
                        <w:rPr>
                          <w:sz w:val="24"/>
                          <w:szCs w:val="24"/>
                          <w:lang w:val="en-US"/>
                        </w:rPr>
                        <w:t xml:space="preserve">via e.g. the technologies allocated support by the Industrial </w:t>
                      </w:r>
                      <w:r w:rsidR="00161F6F">
                        <w:rPr>
                          <w:sz w:val="24"/>
                          <w:szCs w:val="24"/>
                          <w:lang w:val="en-US"/>
                        </w:rPr>
                        <w:t xml:space="preserve">Strategy </w:t>
                      </w:r>
                      <w:r w:rsidR="00161F6F">
                        <w:rPr>
                          <w:sz w:val="24"/>
                          <w:szCs w:val="24"/>
                          <w:lang w:val="en-US"/>
                        </w:rPr>
                        <w:t>Challenge</w:t>
                      </w:r>
                      <w:r w:rsidR="001027D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1027D7">
                        <w:rPr>
                          <w:sz w:val="24"/>
                          <w:szCs w:val="24"/>
                          <w:lang w:val="en-US"/>
                        </w:rPr>
                        <w:t>Fund</w:t>
                      </w:r>
                      <w:r w:rsidR="00F85495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b</w:t>
                      </w:r>
                      <w:proofErr w:type="spellEnd"/>
                      <w:r w:rsidR="00F85495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?</w:t>
                      </w:r>
                      <w:proofErr w:type="gramEnd"/>
                    </w:p>
                    <w:p w14:paraId="5CFFC8E7" w14:textId="29504174" w:rsidR="001440F9" w:rsidRDefault="001440F9" w:rsidP="001440F9">
                      <w:pPr>
                        <w:spacing w:after="0" w:line="240" w:lineRule="auto"/>
                      </w:pPr>
                      <w:r>
                        <w:t xml:space="preserve">Max. </w:t>
                      </w:r>
                      <w:r w:rsidR="00E710BF">
                        <w:t>2000 characters (including spaces)</w:t>
                      </w:r>
                    </w:p>
                    <w:p w14:paraId="6183B5B4" w14:textId="77777777" w:rsidR="001027D7" w:rsidRDefault="001027D7" w:rsidP="005B4870">
                      <w:pPr>
                        <w:spacing w:after="0" w:line="240" w:lineRule="auto"/>
                      </w:pPr>
                    </w:p>
                    <w:p w14:paraId="5C5D0B25" w14:textId="77777777" w:rsidR="005F34BC" w:rsidRPr="00E76A63" w:rsidRDefault="005F34BC" w:rsidP="005F34B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 </w:t>
                      </w:r>
                      <w:hyperlink r:id="rId10" w:history="1">
                        <w:r w:rsidRPr="004F1917">
                          <w:rPr>
                            <w:rStyle w:val="Hyperlink"/>
                          </w:rPr>
                          <w:t>https://beisgovuk.citizenspace.com/strategy/industrial-strategy/supporting_documents/buildingourindustrialstrategygreenpaper.pdf</w:t>
                        </w:r>
                      </w:hyperlink>
                      <w:r>
                        <w:t xml:space="preserve"> </w:t>
                      </w:r>
                    </w:p>
                    <w:p w14:paraId="734EEB20" w14:textId="40A222CB" w:rsidR="00E710BF" w:rsidRDefault="00E710BF" w:rsidP="00E710BF">
                      <w:pPr>
                        <w:spacing w:after="0" w:line="240" w:lineRule="auto"/>
                      </w:pPr>
                      <w:r w:rsidRPr="00E710BF">
                        <w:rPr>
                          <w:vertAlign w:val="superscript"/>
                        </w:rPr>
                        <w:t>b</w:t>
                      </w:r>
                      <w:r>
                        <w:t xml:space="preserve"> Smart and clean energy technologies (such as storage and demand response grid technologies); robotics and artificial intelligence (including connected and autonomous vehicles and drones); satellites and space technologies; leading edge healthcare and medicine; manufacturing processes and materials of the future; biotechnology and synthetic biology quantum technologies, and transformative digital technologies including supercomputing, advanced modelling, and 5G mobile networks.</w:t>
                      </w:r>
                    </w:p>
                    <w:p w14:paraId="5BCB2A9F" w14:textId="5B801972" w:rsidR="001440F9" w:rsidRDefault="001440F9" w:rsidP="001440F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E8756E1" w14:textId="77777777" w:rsidR="001D2D11" w:rsidRDefault="001D2D11">
      <w:pPr>
        <w:rPr>
          <w:rFonts w:cstheme="minorHAnsi"/>
          <w:b/>
          <w:sz w:val="24"/>
          <w:szCs w:val="24"/>
        </w:rPr>
      </w:pPr>
    </w:p>
    <w:p w14:paraId="74440DAD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71CDAEBD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7AB58377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20816158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1E804337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4CC10264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238586CE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54914375" w14:textId="77777777" w:rsidR="00C11816" w:rsidRDefault="00C11816">
      <w:pPr>
        <w:rPr>
          <w:rFonts w:cstheme="minorHAnsi"/>
          <w:b/>
          <w:sz w:val="24"/>
          <w:szCs w:val="24"/>
        </w:rPr>
      </w:pPr>
    </w:p>
    <w:p w14:paraId="4DADB1BF" w14:textId="0881D5FF" w:rsidR="005F34BC" w:rsidRPr="005F34BC" w:rsidRDefault="001B1824">
      <w:pPr>
        <w:rPr>
          <w:rFonts w:cstheme="minorHAnsi"/>
          <w:b/>
          <w:sz w:val="24"/>
          <w:szCs w:val="24"/>
        </w:rPr>
      </w:pPr>
      <w:r w:rsidRPr="005A6284">
        <w:rPr>
          <w:rFonts w:cstheme="minorHAnsi"/>
          <w:b/>
          <w:sz w:val="24"/>
          <w:szCs w:val="24"/>
        </w:rPr>
        <w:t>Confidentiality</w:t>
      </w:r>
    </w:p>
    <w:p w14:paraId="00853BC1" w14:textId="77777777" w:rsidR="005A6284" w:rsidRDefault="00CB23AD">
      <w:pPr>
        <w:rPr>
          <w:rFonts w:cstheme="minorHAnsi"/>
          <w:sz w:val="24"/>
          <w:szCs w:val="24"/>
        </w:rPr>
      </w:pPr>
      <w:r w:rsidRPr="005A6284">
        <w:rPr>
          <w:rFonts w:cstheme="minorHAnsi"/>
          <w:sz w:val="24"/>
          <w:szCs w:val="24"/>
        </w:rPr>
        <w:t>Please indicate if there are any parts of your response that you wish to remain confidential</w:t>
      </w:r>
      <w:r w:rsidR="00130DD8" w:rsidRPr="005A6284">
        <w:rPr>
          <w:rFonts w:cstheme="minorHAnsi"/>
          <w:sz w:val="24"/>
          <w:szCs w:val="24"/>
        </w:rPr>
        <w:t xml:space="preserve"> to STFC and the Review Panel</w:t>
      </w:r>
      <w:r w:rsidRPr="005A6284">
        <w:rPr>
          <w:rFonts w:cstheme="minorHAnsi"/>
          <w:sz w:val="24"/>
          <w:szCs w:val="24"/>
        </w:rPr>
        <w:t xml:space="preserve">. </w:t>
      </w:r>
    </w:p>
    <w:p w14:paraId="125203F4" w14:textId="77777777" w:rsidR="005A6284" w:rsidRPr="005A6284" w:rsidRDefault="005A6284">
      <w:pPr>
        <w:rPr>
          <w:rFonts w:cstheme="minorHAnsi"/>
          <w:sz w:val="24"/>
          <w:szCs w:val="24"/>
        </w:rPr>
      </w:pPr>
    </w:p>
    <w:p w14:paraId="6F6E5AE4" w14:textId="77777777" w:rsidR="001B1824" w:rsidRPr="00E12C4C" w:rsidRDefault="001B1824">
      <w:pPr>
        <w:rPr>
          <w:rFonts w:cstheme="minorHAnsi"/>
          <w:b/>
          <w:sz w:val="24"/>
          <w:szCs w:val="24"/>
        </w:rPr>
      </w:pPr>
      <w:r w:rsidRPr="00E12C4C">
        <w:rPr>
          <w:rFonts w:cstheme="minorHAnsi"/>
          <w:b/>
          <w:sz w:val="24"/>
          <w:szCs w:val="24"/>
        </w:rPr>
        <w:t>Further Information</w:t>
      </w:r>
    </w:p>
    <w:p w14:paraId="6954C572" w14:textId="78817762" w:rsidR="001027D7" w:rsidRPr="001027D7" w:rsidRDefault="00E12C4C" w:rsidP="001027D7">
      <w:pPr>
        <w:rPr>
          <w:rFonts w:cstheme="minorHAnsi"/>
          <w:sz w:val="24"/>
          <w:szCs w:val="24"/>
        </w:rPr>
      </w:pPr>
      <w:r w:rsidRPr="00E12C4C">
        <w:rPr>
          <w:rFonts w:cstheme="minorHAnsi"/>
          <w:sz w:val="24"/>
          <w:szCs w:val="24"/>
        </w:rPr>
        <w:t xml:space="preserve">If you have any questions about the review, process or </w:t>
      </w:r>
      <w:r>
        <w:rPr>
          <w:rFonts w:cstheme="minorHAnsi"/>
          <w:sz w:val="24"/>
          <w:szCs w:val="24"/>
        </w:rPr>
        <w:t>consultation,</w:t>
      </w:r>
      <w:r w:rsidRPr="00E12C4C">
        <w:rPr>
          <w:rFonts w:cstheme="minorHAnsi"/>
          <w:sz w:val="24"/>
          <w:szCs w:val="24"/>
        </w:rPr>
        <w:t xml:space="preserve"> please contact </w:t>
      </w:r>
      <w:r>
        <w:rPr>
          <w:rFonts w:cstheme="minorHAnsi"/>
          <w:sz w:val="24"/>
          <w:szCs w:val="24"/>
        </w:rPr>
        <w:t xml:space="preserve">Emily Swaine </w:t>
      </w:r>
      <w:hyperlink r:id="rId11" w:history="1">
        <w:r w:rsidRPr="00645325">
          <w:rPr>
            <w:rStyle w:val="Hyperlink"/>
            <w:rFonts w:cstheme="minorHAnsi"/>
            <w:sz w:val="24"/>
            <w:szCs w:val="24"/>
          </w:rPr>
          <w:t>emily.swaine@stfc.ac.uk</w:t>
        </w:r>
      </w:hyperlink>
      <w:r>
        <w:rPr>
          <w:rFonts w:cstheme="minorHAnsi"/>
          <w:sz w:val="24"/>
          <w:szCs w:val="24"/>
        </w:rPr>
        <w:t xml:space="preserve">. </w:t>
      </w:r>
      <w:r w:rsidRPr="00E12C4C">
        <w:rPr>
          <w:rFonts w:cstheme="minorHAnsi"/>
          <w:sz w:val="24"/>
          <w:szCs w:val="24"/>
        </w:rPr>
        <w:t xml:space="preserve"> </w:t>
      </w:r>
    </w:p>
    <w:p w14:paraId="414F602D" w14:textId="77777777" w:rsidR="001027D7" w:rsidRPr="00E76A63" w:rsidRDefault="001027D7" w:rsidP="001027D7">
      <w:pPr>
        <w:rPr>
          <w:rFonts w:cstheme="minorHAnsi"/>
          <w:sz w:val="24"/>
          <w:szCs w:val="24"/>
        </w:rPr>
      </w:pPr>
    </w:p>
    <w:sectPr w:rsidR="001027D7" w:rsidRPr="00E76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C755" w14:textId="77777777" w:rsidR="003F48ED" w:rsidRDefault="003F48ED" w:rsidP="00FC61F3">
      <w:pPr>
        <w:spacing w:after="0" w:line="240" w:lineRule="auto"/>
      </w:pPr>
      <w:r>
        <w:separator/>
      </w:r>
    </w:p>
  </w:endnote>
  <w:endnote w:type="continuationSeparator" w:id="0">
    <w:p w14:paraId="4F3AAE64" w14:textId="77777777" w:rsidR="003F48ED" w:rsidRDefault="003F48ED" w:rsidP="00FC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621F" w14:textId="77777777" w:rsidR="00FC61F3" w:rsidRDefault="00FC61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060F" w14:textId="77777777" w:rsidR="00FC61F3" w:rsidRDefault="00FC61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800F" w14:textId="77777777" w:rsidR="00FC61F3" w:rsidRDefault="00FC61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4C51" w14:textId="77777777" w:rsidR="003F48ED" w:rsidRDefault="003F48ED" w:rsidP="00FC61F3">
      <w:pPr>
        <w:spacing w:after="0" w:line="240" w:lineRule="auto"/>
      </w:pPr>
      <w:r>
        <w:separator/>
      </w:r>
    </w:p>
  </w:footnote>
  <w:footnote w:type="continuationSeparator" w:id="0">
    <w:p w14:paraId="4F14649F" w14:textId="77777777" w:rsidR="003F48ED" w:rsidRDefault="003F48ED" w:rsidP="00FC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0AAE" w14:textId="77777777" w:rsidR="00FC61F3" w:rsidRDefault="00FC61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F673" w14:textId="77777777" w:rsidR="00FC61F3" w:rsidRDefault="00FC61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EA74" w14:textId="77777777" w:rsidR="00FC61F3" w:rsidRDefault="00FC6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63B"/>
    <w:multiLevelType w:val="hybridMultilevel"/>
    <w:tmpl w:val="4F3E5D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ED7"/>
    <w:multiLevelType w:val="hybridMultilevel"/>
    <w:tmpl w:val="65BAFD4C"/>
    <w:lvl w:ilvl="0" w:tplc="E87C7A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24"/>
    <w:rsid w:val="001027D7"/>
    <w:rsid w:val="00130DD8"/>
    <w:rsid w:val="001440F9"/>
    <w:rsid w:val="00161F6F"/>
    <w:rsid w:val="001B1824"/>
    <w:rsid w:val="001D2D11"/>
    <w:rsid w:val="001F207F"/>
    <w:rsid w:val="00283630"/>
    <w:rsid w:val="00364B5B"/>
    <w:rsid w:val="00397771"/>
    <w:rsid w:val="003A1275"/>
    <w:rsid w:val="003C0A6C"/>
    <w:rsid w:val="003F48ED"/>
    <w:rsid w:val="00404251"/>
    <w:rsid w:val="004775B1"/>
    <w:rsid w:val="004C1925"/>
    <w:rsid w:val="005A6284"/>
    <w:rsid w:val="005B4870"/>
    <w:rsid w:val="005F34BC"/>
    <w:rsid w:val="0060345E"/>
    <w:rsid w:val="006F6425"/>
    <w:rsid w:val="0079284B"/>
    <w:rsid w:val="00853FC1"/>
    <w:rsid w:val="009B23BF"/>
    <w:rsid w:val="00A06A14"/>
    <w:rsid w:val="00BE3172"/>
    <w:rsid w:val="00C11816"/>
    <w:rsid w:val="00CB23AD"/>
    <w:rsid w:val="00D55567"/>
    <w:rsid w:val="00E07CC8"/>
    <w:rsid w:val="00E12C4C"/>
    <w:rsid w:val="00E46F4B"/>
    <w:rsid w:val="00E710BF"/>
    <w:rsid w:val="00E76A63"/>
    <w:rsid w:val="00F5167F"/>
    <w:rsid w:val="00F52E13"/>
    <w:rsid w:val="00F85495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97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8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C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F3"/>
  </w:style>
  <w:style w:type="paragraph" w:styleId="Footer">
    <w:name w:val="footer"/>
    <w:basedOn w:val="Normal"/>
    <w:link w:val="FooterChar"/>
    <w:uiPriority w:val="99"/>
    <w:unhideWhenUsed/>
    <w:rsid w:val="00FC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F3"/>
  </w:style>
  <w:style w:type="paragraph" w:styleId="FootnoteText">
    <w:name w:val="footnote text"/>
    <w:basedOn w:val="Normal"/>
    <w:link w:val="FootnoteTextChar"/>
    <w:uiPriority w:val="99"/>
    <w:semiHidden/>
    <w:unhideWhenUsed/>
    <w:rsid w:val="001027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7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7D7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027D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8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C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F3"/>
  </w:style>
  <w:style w:type="paragraph" w:styleId="Footer">
    <w:name w:val="footer"/>
    <w:basedOn w:val="Normal"/>
    <w:link w:val="FooterChar"/>
    <w:uiPriority w:val="99"/>
    <w:unhideWhenUsed/>
    <w:rsid w:val="00FC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F3"/>
  </w:style>
  <w:style w:type="paragraph" w:styleId="FootnoteText">
    <w:name w:val="footnote text"/>
    <w:basedOn w:val="Normal"/>
    <w:link w:val="FootnoteTextChar"/>
    <w:uiPriority w:val="99"/>
    <w:semiHidden/>
    <w:unhideWhenUsed/>
    <w:rsid w:val="001027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7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7D7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027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ily.swaine@stfc.ac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eisgovuk.citizenspace.com/strategy/industrial-strategy/supporting_documents/buildingourindustrialstrategygreenpaper.pdf" TargetMode="External"/><Relationship Id="rId10" Type="http://schemas.openxmlformats.org/officeDocument/2006/relationships/hyperlink" Target="https://beisgovuk.citizenspace.com/strategy/industrial-strategy/supporting_documents/buildingourindustrialstrategygreen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F36C-013E-C244-8D02-54082716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Swaine, Emily (STFC,SO,SPC)</dc:creator>
  <cp:lastModifiedBy>Claire Shepherd-Themistocleous</cp:lastModifiedBy>
  <cp:revision>2</cp:revision>
  <dcterms:created xsi:type="dcterms:W3CDTF">2017-07-18T18:42:00Z</dcterms:created>
  <dcterms:modified xsi:type="dcterms:W3CDTF">2017-07-18T18:42:00Z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